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4C" w:rsidRDefault="00D652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6524C" w:rsidRDefault="001549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Záznam o knížce pro děti a dospívající</w:t>
      </w:r>
    </w:p>
    <w:p w:rsidR="00D6524C" w:rsidRDefault="00D6524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6524C" w:rsidRDefault="00D652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6524C" w:rsidRDefault="001549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Barbora Petrovická</w:t>
      </w:r>
    </w:p>
    <w:p w:rsidR="00D6524C" w:rsidRDefault="001549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petrovickabarbora@seznam.cz</w:t>
        </w:r>
      </w:hyperlink>
    </w:p>
    <w:p w:rsidR="00D6524C" w:rsidRDefault="001549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seminární skupina: pátek od 13:30</w:t>
      </w:r>
    </w:p>
    <w:p w:rsidR="00D6524C" w:rsidRDefault="00D652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6524C" w:rsidRDefault="00D652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6"/>
        <w:gridCol w:w="6910"/>
        <w:gridCol w:w="288"/>
      </w:tblGrid>
      <w:tr w:rsidR="00D6524C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Jiří Holub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D6524C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5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Jak se zbavit mstivý Soni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D6524C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vydavatel</w:t>
            </w: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nakladatelství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D6524C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místo, rok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počet stran</w:t>
            </w:r>
            <w:r>
              <w:rPr>
                <w:color w:val="000000"/>
                <w:sz w:val="24"/>
                <w:szCs w:val="24"/>
              </w:rPr>
              <w:t>, (cena)</w:t>
            </w: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Praha, 2016 (první vydání 2011), 112 stran, 201 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D6524C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typ ilustrací</w:t>
            </w: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barevné ilustrace, rekapitulují děj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D6524C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co v knize jde</w:t>
            </w:r>
            <w:r>
              <w:rPr>
                <w:b/>
                <w:color w:val="000000"/>
                <w:sz w:val="24"/>
                <w:szCs w:val="24"/>
              </w:rPr>
              <w:br/>
              <w:t>(ne o čem je!)</w:t>
            </w: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knize jde především o souboj mezi žáky a učitelkou na půdě základní školy. Soňa Ticháčková je učitelka, která se prostřednictvím svého speciálního výcviku snaží zkrotit třídu, až jí tato její rafinovanost vynese přezdívku „mstivá Soňa“. Postupem času ovš</w:t>
            </w:r>
            <w:r>
              <w:rPr>
                <w:color w:val="000000"/>
                <w:sz w:val="24"/>
                <w:szCs w:val="24"/>
              </w:rPr>
              <w:t>em obě strany zji</w:t>
            </w:r>
            <w:r>
              <w:rPr>
                <w:sz w:val="24"/>
                <w:szCs w:val="24"/>
              </w:rPr>
              <w:t>š</w:t>
            </w:r>
            <w:r>
              <w:rPr>
                <w:color w:val="000000"/>
                <w:sz w:val="24"/>
                <w:szCs w:val="24"/>
              </w:rPr>
              <w:t xml:space="preserve">ťují, že je možná lepší být na stejné straně barikády. 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D6524C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klíčové problémy, situace</w:t>
            </w: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10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má svou osobní výzvu, že odradí každého třídního učitele, kterého dostanou</w:t>
            </w:r>
          </w:p>
          <w:p w:rsidR="00D6524C" w:rsidRDefault="00154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školy přichází učitelka Soňa a třídě kazí plány</w:t>
            </w:r>
          </w:p>
          <w:p w:rsidR="00D6524C" w:rsidRDefault="00154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10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velice komické situace, během kterých se o moc přetahuje třída a třídní učitelka (humor, ironie)</w:t>
            </w:r>
          </w:p>
          <w:p w:rsidR="00D6524C" w:rsidRDefault="00154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10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děti </w:t>
            </w:r>
            <w:r>
              <w:rPr>
                <w:sz w:val="24"/>
                <w:szCs w:val="24"/>
              </w:rPr>
              <w:t>začínají oceňovat některé vlastnosti učitelky</w:t>
            </w:r>
            <w:r>
              <w:rPr>
                <w:color w:val="000000"/>
                <w:sz w:val="24"/>
                <w:szCs w:val="24"/>
              </w:rPr>
              <w:t xml:space="preserve"> (smysl pro spravedlnost), a stejně tak ona se postupem času projevuje smířlivěji směrem k dětem – </w:t>
            </w:r>
            <w:proofErr w:type="spellStart"/>
            <w:r>
              <w:rPr>
                <w:sz w:val="24"/>
                <w:szCs w:val="24"/>
              </w:rPr>
              <w:t>vyvoji</w:t>
            </w:r>
            <w:proofErr w:type="spellEnd"/>
            <w:r>
              <w:rPr>
                <w:sz w:val="24"/>
                <w:szCs w:val="24"/>
              </w:rPr>
              <w:t xml:space="preserve"> jej</w:t>
            </w:r>
            <w:r>
              <w:rPr>
                <w:sz w:val="24"/>
                <w:szCs w:val="24"/>
              </w:rPr>
              <w:t xml:space="preserve">ich vztahů </w:t>
            </w:r>
            <w:r>
              <w:rPr>
                <w:color w:val="000000"/>
                <w:sz w:val="24"/>
                <w:szCs w:val="24"/>
              </w:rPr>
              <w:t>pomůže kritic</w:t>
            </w:r>
            <w:r>
              <w:rPr>
                <w:sz w:val="24"/>
                <w:szCs w:val="24"/>
              </w:rPr>
              <w:t>ká</w:t>
            </w:r>
            <w:r>
              <w:rPr>
                <w:color w:val="000000"/>
                <w:sz w:val="24"/>
                <w:szCs w:val="24"/>
              </w:rPr>
              <w:t xml:space="preserve"> situace na odvykacím táboře</w:t>
            </w:r>
          </w:p>
          <w:p w:rsidR="00D6524C" w:rsidRDefault="00154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ind w:left="108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usmíření </w:t>
            </w:r>
            <w:r>
              <w:rPr>
                <w:sz w:val="24"/>
                <w:szCs w:val="24"/>
              </w:rPr>
              <w:t>žáků a učitelky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D6524C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doporučující vyjádření pro kolegy (proč je vhodné knihu dát žákům, co s ní sledovat a dělat atp., vč. ohledu k věku čtenářů)</w:t>
            </w: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5D6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Kniha je skvělá především pro čtenáře v 6. a 7. třídě, ocení ji ale i ti mladší. Menší čtenářům se bude líbit především vtip a lehkost, se kterou jsou vyprávěny neuvěřitelné příběhy školní třídy. Na druhou stranu by pro tuto věkovou kategorii mohl být těžc</w:t>
            </w:r>
            <w:r>
              <w:rPr>
                <w:sz w:val="24"/>
                <w:szCs w:val="24"/>
              </w:rPr>
              <w:t>e uchopitelný ironický humor, který se zde často vyskytuje. Ten naopak upoutá starší čtenáře, kteří často již dokáží číst mezi řádky a objevovat skryté hříčky a náročnější humor. Jsou zde také neobvyklá jména, která mohou rozvíjet čtenářovu fantazii a podn</w:t>
            </w:r>
            <w:r>
              <w:rPr>
                <w:sz w:val="24"/>
                <w:szCs w:val="24"/>
              </w:rPr>
              <w:t xml:space="preserve">ěcovat k přemýšlení (Vášnivý, </w:t>
            </w:r>
            <w:proofErr w:type="spellStart"/>
            <w:r>
              <w:rPr>
                <w:sz w:val="24"/>
                <w:szCs w:val="24"/>
              </w:rPr>
              <w:t>Žábokudly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Čalabounová</w:t>
            </w:r>
            <w:proofErr w:type="spellEnd"/>
            <w:r>
              <w:rPr>
                <w:sz w:val="24"/>
                <w:szCs w:val="24"/>
              </w:rPr>
              <w:t>). Oceníme i pro děti vhodně vybíraná známá prostředí, která si snadno představí a mohou se lépe vžít do děje (školní třída, ZOO).</w:t>
            </w:r>
            <w:r w:rsidR="003755D6">
              <w:rPr>
                <w:sz w:val="24"/>
                <w:szCs w:val="24"/>
              </w:rPr>
              <w:t xml:space="preserve"> Zároveň je zde použita slovní zásoba, kterou běžně mladší děti využívají, takže je pro ně text snadno uchopitelný. </w:t>
            </w:r>
            <w:bookmarkStart w:id="0" w:name="_GoBack"/>
            <w:bookmarkEnd w:id="0"/>
          </w:p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vydání knihy z roku 2016 jsou také krásné a velice vtipné ilustrace </w:t>
            </w:r>
            <w:r>
              <w:rPr>
                <w:sz w:val="24"/>
                <w:szCs w:val="24"/>
              </w:rPr>
              <w:lastRenderedPageBreak/>
              <w:t>Ju</w:t>
            </w:r>
            <w:r>
              <w:rPr>
                <w:sz w:val="24"/>
                <w:szCs w:val="24"/>
              </w:rPr>
              <w:t xml:space="preserve">raje </w:t>
            </w:r>
            <w:proofErr w:type="spellStart"/>
            <w:r>
              <w:rPr>
                <w:sz w:val="24"/>
                <w:szCs w:val="24"/>
              </w:rPr>
              <w:t>Martišky</w:t>
            </w:r>
            <w:proofErr w:type="spellEnd"/>
            <w:r>
              <w:rPr>
                <w:sz w:val="24"/>
                <w:szCs w:val="24"/>
              </w:rPr>
              <w:t xml:space="preserve">, které určitě potěší i dospělého čtenáře, protože stylem připomínají ilustrace Adolfa Borna. </w:t>
            </w:r>
          </w:p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Přínosné je především sledování vztahu mezi dětmi a učitelkou a jeho vývoj. Nakonec vidíme, že člověk nemusí nutně být takový, jaký se nám zdá na pr</w:t>
            </w:r>
            <w:r>
              <w:rPr>
                <w:sz w:val="24"/>
                <w:szCs w:val="24"/>
              </w:rPr>
              <w:t>vní pohled a podle toho bychom ho ani neměli soudit.  Čtenář si zde také může rozšířit povědomí o tom, co je humor, satira, ironie a všeobecně zde objeví mnoho způsobů, kterými lze udělat text komický.</w:t>
            </w:r>
          </w:p>
          <w:p w:rsidR="00D6524C" w:rsidRDefault="0015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Závěrem bych knihu ráda doporučila i učitelům a rodičů</w:t>
            </w:r>
            <w:r>
              <w:rPr>
                <w:sz w:val="24"/>
                <w:szCs w:val="24"/>
              </w:rPr>
              <w:t xml:space="preserve">m. Jednak se skvěle pobaví, také zde ale mohou načerpat inspiraci, jak se vypořádat s neposlušnými dětmi a také jak se nenechat napálit žádnou lotrovinou. </w:t>
            </w:r>
          </w:p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4C" w:rsidRDefault="00D6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D6524C" w:rsidRDefault="00D652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D6524C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B7978"/>
    <w:multiLevelType w:val="multilevel"/>
    <w:tmpl w:val="7EBC58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C"/>
    <w:rsid w:val="00154946"/>
    <w:rsid w:val="003755D6"/>
    <w:rsid w:val="00D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41CE"/>
  <w15:docId w15:val="{3DFAE5F8-6BCB-4A97-81B0-048EB28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ickabarbor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Barbora Petrovická</cp:lastModifiedBy>
  <cp:revision>2</cp:revision>
  <dcterms:created xsi:type="dcterms:W3CDTF">2018-11-19T22:24:00Z</dcterms:created>
  <dcterms:modified xsi:type="dcterms:W3CDTF">2018-11-19T22:24:00Z</dcterms:modified>
</cp:coreProperties>
</file>